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tabs>
          <w:tab w:val="left" w:pos="3544" w:leader="none"/>
          <w:tab w:val="left" w:pos="4678" w:leader="none"/>
          <w:tab w:val="left" w:pos="6096" w:leader="none"/>
          <w:tab w:val="left" w:pos="9355" w:leader="none"/>
        </w:tabs>
        <w:spacing w:lineRule="auto" w:line="276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«Об утверждении Административного регламента предоставления муниципальной услуги «Предоставление в собственность земельных участков членам садоводческого, огороднического или дачного некоммерческого объединения»».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муниципального нормативного   правового акта в соответствии 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04.02.2015 № 1, а также  в целях  повышения эффективности работы органов местного самоуправления сельских поселений: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данный регламент следующие разделы:</w:t>
      </w:r>
    </w:p>
    <w:p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ListParagraph"/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Стандарт предоставления муниципальной услуги;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Формы контроля за исполнением административного регламента;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досудебный (внесудебный) порядок обжалования решений и действий (бездействия) Администрации Анастасиевского  сельского  поселения, ее должностных лиц, муниципальных служащих, предоставляющих муниципальную услугу;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Cs w:val="28"/>
        </w:rPr>
        <w:t xml:space="preserve"> </w:t>
      </w:r>
      <w:r>
        <w:rPr>
          <w:sz w:val="28"/>
          <w:szCs w:val="28"/>
        </w:rPr>
        <w:t>Результатами предоставления муниципальной услуги является принятие Администрацией решения: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земельного участка в собственность;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об отказе в предоставлении земельного участка в собственность;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заключение договора купли-продажи.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Анастасиевского  сельского поселения о предоставлении земельного участка в собственность и договора купли-продажи;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постановления Администрации Анастасиевского  сельского  поселения об отказе в предоставлении земельного участка в собственность.</w:t>
      </w:r>
    </w:p>
    <w:p>
      <w:pPr>
        <w:pStyle w:val="Normal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shd w:fill="FFFFFF" w:val="clear"/>
        </w:rPr>
        <w:t>Срок предоставления государственной или муниципальной услуги: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- </w:t>
      </w:r>
      <w:r>
        <w:rPr>
          <w:sz w:val="28"/>
          <w:szCs w:val="28"/>
        </w:rPr>
        <w:t>в двухнедельный срок с даты получения заявления и необходимых документов принятие решения о предоставлении в собственность такого земельного участка либо об отказе в его предоставлении.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-  90 дней – проведение мероприятий по оценке рыночной стоимости земельного участка;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- 1 неделя – заключение договора купли-продажи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>
      <w:pPr>
        <w:pStyle w:val="Normal"/>
        <w:shd w:val="clear" w:color="auto" w:fill="FFFFFF"/>
        <w:tabs>
          <w:tab w:val="left" w:pos="0" w:leader="none"/>
        </w:tabs>
        <w:spacing w:lineRule="exact" w:line="322"/>
        <w:ind w:right="8" w:firstLine="72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4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shd w:val="clear" w:color="auto" w:fill="FFFFFF"/>
        <w:tabs>
          <w:tab w:val="left" w:pos="0" w:leader="none"/>
        </w:tabs>
        <w:spacing w:lineRule="exact" w:line="322"/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приём и регистрация заявления и документов заявителя;</w:t>
      </w:r>
    </w:p>
    <w:p>
      <w:pPr>
        <w:pStyle w:val="Normal"/>
        <w:shd w:val="clear" w:color="auto" w:fill="FFFFFF"/>
        <w:tabs>
          <w:tab w:val="left" w:pos="0" w:leader="none"/>
        </w:tabs>
        <w:spacing w:lineRule="exact" w:line="322"/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принятие решения о предоставлении на испрашиваемом праве земельного участка;</w:t>
      </w:r>
    </w:p>
    <w:p>
      <w:pPr>
        <w:pStyle w:val="Normal"/>
        <w:shd w:val="clear" w:color="auto" w:fill="FFFFFF"/>
        <w:tabs>
          <w:tab w:val="left" w:pos="0" w:leader="none"/>
        </w:tabs>
        <w:spacing w:lineRule="exact" w:line="322"/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заключение договора и выдача документов.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5)Документы, предоставляемые заявителем, должны соответствовать следующим требованиям: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62053f"/>
    <w:rPr>
      <w:rFonts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rsid w:val="0062053f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8"/>
    <w:uiPriority w:val="99"/>
    <w:semiHidden/>
    <w:unhideWhenUsed/>
    <w:rsid w:val="0062053f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2015-07-27T08:31:00Z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